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078" w:rsidRDefault="002B0078" w:rsidP="002B0078"/>
    <w:p w:rsidR="002B0078" w:rsidRDefault="002B0078" w:rsidP="002B0078">
      <w:pPr>
        <w:rPr>
          <w:b/>
          <w:bCs/>
        </w:rPr>
      </w:pPr>
      <w:r>
        <w:rPr>
          <w:b/>
          <w:bCs/>
        </w:rPr>
        <w:t>Dear Mr Whyte</w:t>
      </w:r>
    </w:p>
    <w:p w:rsidR="002B0078" w:rsidRDefault="002B0078" w:rsidP="002B0078">
      <w:pPr>
        <w:rPr>
          <w:b/>
          <w:bCs/>
        </w:rPr>
      </w:pPr>
    </w:p>
    <w:p w:rsidR="002B0078" w:rsidRDefault="002B0078" w:rsidP="002B0078">
      <w:r>
        <w:rPr>
          <w:b/>
          <w:bCs/>
        </w:rPr>
        <w:t>LDU response to the consultation on The Standard of Proof applied by the Scottish Solicitors’ Disciplinary Tribunal</w:t>
      </w:r>
    </w:p>
    <w:p w:rsidR="002B0078" w:rsidRDefault="002B0078" w:rsidP="002B0078"/>
    <w:p w:rsidR="00B309D4" w:rsidRDefault="00541D66" w:rsidP="002B0078">
      <w:r>
        <w:t xml:space="preserve">The Board </w:t>
      </w:r>
      <w:r w:rsidR="00B309D4">
        <w:t xml:space="preserve">of the LDU has </w:t>
      </w:r>
      <w:r>
        <w:t>considered</w:t>
      </w:r>
      <w:r w:rsidR="00B309D4">
        <w:t xml:space="preserve"> the above </w:t>
      </w:r>
      <w:r>
        <w:t>matter</w:t>
      </w:r>
      <w:r w:rsidR="00B309D4">
        <w:t xml:space="preserve"> at </w:t>
      </w:r>
      <w:r>
        <w:t>some</w:t>
      </w:r>
      <w:r w:rsidR="00B309D4">
        <w:t xml:space="preserve"> </w:t>
      </w:r>
      <w:r>
        <w:t>length and has</w:t>
      </w:r>
      <w:r w:rsidR="00B309D4">
        <w:t xml:space="preserve"> also sough</w:t>
      </w:r>
      <w:r>
        <w:t>t</w:t>
      </w:r>
      <w:r w:rsidR="00B309D4">
        <w:t xml:space="preserve"> </w:t>
      </w:r>
      <w:r>
        <w:t>the views of LDU</w:t>
      </w:r>
      <w:r w:rsidR="00B309D4">
        <w:t xml:space="preserve"> </w:t>
      </w:r>
      <w:r>
        <w:t>members</w:t>
      </w:r>
      <w:r w:rsidR="00B309D4">
        <w:t xml:space="preserve"> about </w:t>
      </w:r>
      <w:r>
        <w:t>the</w:t>
      </w:r>
      <w:r w:rsidR="00B309D4">
        <w:t xml:space="preserve"> </w:t>
      </w:r>
      <w:r>
        <w:t>proposed</w:t>
      </w:r>
      <w:r w:rsidR="00B309D4">
        <w:t xml:space="preserve"> change.</w:t>
      </w:r>
    </w:p>
    <w:p w:rsidR="00B309D4" w:rsidRDefault="00B309D4" w:rsidP="002B0078"/>
    <w:p w:rsidR="00B309D4" w:rsidRDefault="00541D66" w:rsidP="002B0078">
      <w:r>
        <w:t xml:space="preserve">The Board has concluded for the reasons below that there should be no change to the existing standard of proof. </w:t>
      </w:r>
      <w:r w:rsidR="00B309D4">
        <w:t xml:space="preserve">The LDU </w:t>
      </w:r>
      <w:r>
        <w:t>members</w:t>
      </w:r>
      <w:r w:rsidR="00B309D4">
        <w:t xml:space="preserve"> who </w:t>
      </w:r>
      <w:r>
        <w:t>responded</w:t>
      </w:r>
      <w:r w:rsidR="00B309D4">
        <w:t xml:space="preserve"> </w:t>
      </w:r>
      <w:r>
        <w:t>were</w:t>
      </w:r>
      <w:r w:rsidR="00B309D4">
        <w:t xml:space="preserve"> </w:t>
      </w:r>
      <w:r>
        <w:t>unanimous</w:t>
      </w:r>
      <w:r w:rsidR="00B309D4">
        <w:t xml:space="preserve"> </w:t>
      </w:r>
      <w:r>
        <w:t>in agreeing</w:t>
      </w:r>
      <w:r w:rsidR="00B309D4">
        <w:t xml:space="preserve"> </w:t>
      </w:r>
      <w:r>
        <w:t>with</w:t>
      </w:r>
      <w:r w:rsidR="00B309D4">
        <w:t xml:space="preserve"> </w:t>
      </w:r>
      <w:r>
        <w:t>this</w:t>
      </w:r>
      <w:r w:rsidR="00B309D4">
        <w:t xml:space="preserve"> view.</w:t>
      </w:r>
    </w:p>
    <w:p w:rsidR="00B309D4" w:rsidRDefault="00B309D4" w:rsidP="002B0078"/>
    <w:p w:rsidR="007C6CF2" w:rsidRPr="007C6CF2" w:rsidRDefault="007C6CF2" w:rsidP="002B0078">
      <w:pPr>
        <w:rPr>
          <w:b/>
        </w:rPr>
      </w:pPr>
      <w:r w:rsidRPr="007C6CF2">
        <w:rPr>
          <w:b/>
        </w:rPr>
        <w:t>Background to the Board's view</w:t>
      </w:r>
    </w:p>
    <w:p w:rsidR="007C6CF2" w:rsidRPr="007C6CF2" w:rsidRDefault="007C6CF2" w:rsidP="002B0078">
      <w:pPr>
        <w:rPr>
          <w:b/>
        </w:rPr>
      </w:pPr>
    </w:p>
    <w:p w:rsidR="002B0078" w:rsidRDefault="002B0078" w:rsidP="002B0078">
      <w:r>
        <w:t xml:space="preserve">The </w:t>
      </w:r>
      <w:r w:rsidR="007C6CF2">
        <w:t xml:space="preserve">Board fully accepts that the </w:t>
      </w:r>
      <w:r>
        <w:t xml:space="preserve">role of the Tribunal is important as it acts as a first instance decision maker as well as an appellate body. </w:t>
      </w:r>
    </w:p>
    <w:p w:rsidR="002B0078" w:rsidRDefault="002B0078" w:rsidP="002B0078"/>
    <w:p w:rsidR="002B0078" w:rsidRDefault="007C6CF2" w:rsidP="002B0078">
      <w:r>
        <w:t xml:space="preserve">It is in </w:t>
      </w:r>
      <w:r w:rsidR="008B3F35">
        <w:t>this</w:t>
      </w:r>
      <w:r>
        <w:t xml:space="preserve"> context that t</w:t>
      </w:r>
      <w:r w:rsidR="002B0078">
        <w:t xml:space="preserve">he Tribunal should only be considering the most serious of allegations relating to alleged professional misconduct against individual solicitors. </w:t>
      </w:r>
    </w:p>
    <w:p w:rsidR="002B0078" w:rsidRDefault="002B0078" w:rsidP="002B0078"/>
    <w:p w:rsidR="002B0078" w:rsidRDefault="002B0078" w:rsidP="002B0078">
      <w:r>
        <w:t xml:space="preserve">The Tribunal has a very wide discretion to regulate its own procedure and its most recent rules are from 2008. </w:t>
      </w:r>
    </w:p>
    <w:p w:rsidR="002B0078" w:rsidRDefault="002B0078" w:rsidP="002B0078"/>
    <w:p w:rsidR="001F401C" w:rsidRDefault="002B0078" w:rsidP="002B0078">
      <w:r>
        <w:t xml:space="preserve">At present </w:t>
      </w:r>
      <w:r w:rsidR="001F401C">
        <w:t>:-</w:t>
      </w:r>
    </w:p>
    <w:p w:rsidR="001F401C" w:rsidRDefault="001F401C" w:rsidP="002B0078"/>
    <w:p w:rsidR="002B0078" w:rsidRDefault="001F401C" w:rsidP="002B0078">
      <w:r>
        <w:t>W</w:t>
      </w:r>
      <w:r w:rsidR="002B0078">
        <w:t xml:space="preserve">e have a level of certainty in respect of the evidence which must be presented before a fact can be said to exist or not exist. </w:t>
      </w:r>
    </w:p>
    <w:p w:rsidR="002B0078" w:rsidRDefault="002B0078" w:rsidP="002B0078"/>
    <w:p w:rsidR="002B0078" w:rsidRDefault="001F401C" w:rsidP="002B0078">
      <w:r>
        <w:t>T</w:t>
      </w:r>
      <w:r w:rsidR="002B0078">
        <w:t xml:space="preserve">he criminal standard applies defined as “evidence beyond reasonable doubt”. However, the civil standard based on balance of probabilities is now being promoted. </w:t>
      </w:r>
    </w:p>
    <w:p w:rsidR="002B0078" w:rsidRDefault="002B0078" w:rsidP="002B0078"/>
    <w:p w:rsidR="002B0078" w:rsidRDefault="002B0078" w:rsidP="002B0078">
      <w:r>
        <w:rPr>
          <w:rFonts w:ascii="UICTFontTextStyleTallBody" w:hAnsi="UICTFontTextStyleTallBody"/>
          <w:color w:val="000000"/>
          <w:sz w:val="24"/>
          <w:szCs w:val="24"/>
        </w:rPr>
        <w:t xml:space="preserve">It </w:t>
      </w:r>
      <w:r>
        <w:t xml:space="preserve">is </w:t>
      </w:r>
      <w:r w:rsidR="001F401C">
        <w:t xml:space="preserve">a </w:t>
      </w:r>
      <w:r>
        <w:t xml:space="preserve">long standing </w:t>
      </w:r>
      <w:r w:rsidR="001F401C">
        <w:t xml:space="preserve">premise </w:t>
      </w:r>
      <w:r>
        <w:t>that the criminal standard should apply</w:t>
      </w:r>
      <w:r w:rsidR="001F401C">
        <w:t>,</w:t>
      </w:r>
      <w:r>
        <w:t xml:space="preserve"> as it is supported by case law and it is appropriate where a solicitor’s livelihood is at risk. </w:t>
      </w:r>
    </w:p>
    <w:p w:rsidR="002B0078" w:rsidRDefault="002B0078" w:rsidP="002B0078">
      <w:pPr>
        <w:rPr>
          <w:rFonts w:ascii="Times New Roman" w:hAnsi="Times New Roman"/>
          <w:sz w:val="24"/>
          <w:szCs w:val="24"/>
          <w:lang w:eastAsia="en-GB"/>
        </w:rPr>
      </w:pPr>
    </w:p>
    <w:p w:rsidR="002B0078" w:rsidRDefault="002B0078" w:rsidP="002B0078">
      <w:r>
        <w:t xml:space="preserve">The </w:t>
      </w:r>
      <w:r w:rsidR="00B309D4">
        <w:t xml:space="preserve">existing </w:t>
      </w:r>
      <w:r>
        <w:t xml:space="preserve">process is that once a </w:t>
      </w:r>
      <w:r w:rsidR="001F401C">
        <w:t xml:space="preserve">conduct </w:t>
      </w:r>
      <w:r>
        <w:t>complaint is deemed eligible in terms of Sections 2 and 4 of the 2007 Act</w:t>
      </w:r>
      <w:r w:rsidR="001F401C">
        <w:t>,</w:t>
      </w:r>
      <w:r>
        <w:t xml:space="preserve"> it goes to the Law Society for investigation and automatically the criminal standard of proof applies</w:t>
      </w:r>
      <w:r w:rsidR="007B594C">
        <w:t xml:space="preserve"> to cases of professional misconduct</w:t>
      </w:r>
      <w:r>
        <w:t>. Service and unsatisfactory professional conduct complaints are determined by the civil standard.</w:t>
      </w:r>
    </w:p>
    <w:p w:rsidR="002B0078" w:rsidRDefault="002B0078" w:rsidP="002B0078"/>
    <w:p w:rsidR="007C6CF2" w:rsidRPr="007C6CF2" w:rsidRDefault="007C6CF2" w:rsidP="002B0078">
      <w:pPr>
        <w:rPr>
          <w:b/>
        </w:rPr>
      </w:pPr>
      <w:r w:rsidRPr="007C6CF2">
        <w:rPr>
          <w:b/>
        </w:rPr>
        <w:t>Reasons for the Board's view</w:t>
      </w:r>
    </w:p>
    <w:p w:rsidR="007C6CF2" w:rsidRPr="007C6CF2" w:rsidRDefault="007C6CF2" w:rsidP="002B0078">
      <w:pPr>
        <w:rPr>
          <w:b/>
        </w:rPr>
      </w:pPr>
    </w:p>
    <w:p w:rsidR="002B0078" w:rsidRDefault="001F401C" w:rsidP="002B0078">
      <w:r>
        <w:t>The main reason for the criminal standard is the impact that an adverse decision can have on a solicitor. The solicitor can lose his or her livelihood. A suspension amounts to loss of livelihood, restriction amounts to significant loss of livelihood. Moreover, censures and fines can lead to individual solicitors losing their positions within legal practices for bringing the practice into disrepute. A disciplinary finding can end the solicitor’s career particularly for those partners in firms which tender for business in the public sector (</w:t>
      </w:r>
      <w:r w:rsidR="0069167D">
        <w:t>given that if a</w:t>
      </w:r>
      <w:r>
        <w:t xml:space="preserve"> member of the firm has a finding of professional misconduct that can disentitle the entire firm from obtaining work in the public sector.</w:t>
      </w:r>
      <w:r w:rsidR="0069167D">
        <w:t>) A disciplinary finding</w:t>
      </w:r>
      <w:r>
        <w:t xml:space="preserve"> can also damage relations with lenders by firms being removed from</w:t>
      </w:r>
      <w:r w:rsidR="0069167D">
        <w:t xml:space="preserve"> lenders’ panels</w:t>
      </w:r>
      <w:r>
        <w:t xml:space="preserve"> </w:t>
      </w:r>
      <w:r w:rsidR="0069167D">
        <w:t xml:space="preserve">( given </w:t>
      </w:r>
      <w:r>
        <w:t>the lenders do ask questions regarding any member of a firm having a finding of professional misconduct.</w:t>
      </w:r>
      <w:r w:rsidR="0069167D">
        <w:t>)</w:t>
      </w:r>
      <w:r>
        <w:t xml:space="preserve"> </w:t>
      </w:r>
      <w:r>
        <w:br/>
      </w:r>
      <w:r w:rsidR="007C6CF2">
        <w:lastRenderedPageBreak/>
        <w:t>A</w:t>
      </w:r>
      <w:r w:rsidR="002B0078">
        <w:t xml:space="preserve">ny decision should be evidence based and </w:t>
      </w:r>
      <w:r w:rsidR="002B0078" w:rsidRPr="007C6CF2">
        <w:rPr>
          <w:b/>
          <w:i/>
        </w:rPr>
        <w:t>appropriate to our profession</w:t>
      </w:r>
      <w:r w:rsidR="007C6CF2">
        <w:t>. T</w:t>
      </w:r>
      <w:r w:rsidR="002B0078">
        <w:t>o look at other sectors</w:t>
      </w:r>
      <w:r w:rsidR="0069167D">
        <w:t>,</w:t>
      </w:r>
      <w:r w:rsidR="002B0078">
        <w:t xml:space="preserve"> without establishing whether this is in fact the best approach</w:t>
      </w:r>
      <w:r w:rsidR="0069167D">
        <w:t>,</w:t>
      </w:r>
      <w:r w:rsidR="002B0078">
        <w:t xml:space="preserve"> is not the optimum method of determining the approach to be taken regarding evidence. </w:t>
      </w:r>
    </w:p>
    <w:p w:rsidR="002B0078" w:rsidRDefault="002B0078" w:rsidP="002B0078"/>
    <w:p w:rsidR="007C6CF2" w:rsidRDefault="002B0078" w:rsidP="00541D66">
      <w:pPr>
        <w:rPr>
          <w:color w:val="000000"/>
        </w:rPr>
      </w:pPr>
      <w:r>
        <w:br/>
      </w:r>
      <w:r w:rsidR="008B3F35">
        <w:rPr>
          <w:color w:val="000000"/>
        </w:rPr>
        <w:t>There</w:t>
      </w:r>
      <w:r w:rsidR="007C6CF2">
        <w:rPr>
          <w:color w:val="000000"/>
        </w:rPr>
        <w:t xml:space="preserve"> is </w:t>
      </w:r>
      <w:r w:rsidR="008B3F35">
        <w:rPr>
          <w:color w:val="000000"/>
        </w:rPr>
        <w:t>clear</w:t>
      </w:r>
      <w:r w:rsidR="007C6CF2">
        <w:rPr>
          <w:color w:val="000000"/>
        </w:rPr>
        <w:t xml:space="preserve"> case </w:t>
      </w:r>
      <w:r w:rsidR="008B3F35">
        <w:rPr>
          <w:color w:val="000000"/>
        </w:rPr>
        <w:t>authority</w:t>
      </w:r>
      <w:r w:rsidR="007C6CF2">
        <w:rPr>
          <w:color w:val="000000"/>
        </w:rPr>
        <w:t xml:space="preserve"> to </w:t>
      </w:r>
      <w:r w:rsidR="008B3F35">
        <w:rPr>
          <w:color w:val="000000"/>
        </w:rPr>
        <w:t>support</w:t>
      </w:r>
      <w:r w:rsidR="007C6CF2">
        <w:rPr>
          <w:color w:val="000000"/>
        </w:rPr>
        <w:t xml:space="preserve"> </w:t>
      </w:r>
      <w:r w:rsidR="007B594C">
        <w:rPr>
          <w:color w:val="000000"/>
        </w:rPr>
        <w:t>the view that the criminal standard is appropriate</w:t>
      </w:r>
      <w:r w:rsidR="007C6CF2">
        <w:rPr>
          <w:color w:val="000000"/>
        </w:rPr>
        <w:t>.</w:t>
      </w:r>
    </w:p>
    <w:p w:rsidR="007C6CF2" w:rsidRDefault="007C6CF2" w:rsidP="00541D66">
      <w:pPr>
        <w:rPr>
          <w:color w:val="000000"/>
        </w:rPr>
      </w:pPr>
    </w:p>
    <w:p w:rsidR="00541D66" w:rsidRDefault="00541D66" w:rsidP="00541D66">
      <w:r>
        <w:rPr>
          <w:color w:val="000000"/>
        </w:rPr>
        <w:t xml:space="preserve">Lord Lane in the case of “in Re A Solicitor </w:t>
      </w:r>
      <w:r w:rsidR="007B594C">
        <w:rPr>
          <w:color w:val="000000"/>
        </w:rPr>
        <w:t>(</w:t>
      </w:r>
      <w:r>
        <w:rPr>
          <w:color w:val="000000"/>
        </w:rPr>
        <w:t>1993</w:t>
      </w:r>
      <w:r w:rsidR="007B594C">
        <w:rPr>
          <w:color w:val="000000"/>
        </w:rPr>
        <w:t>)</w:t>
      </w:r>
      <w:r>
        <w:rPr>
          <w:color w:val="000000"/>
        </w:rPr>
        <w:t xml:space="preserve"> QB69” stated “</w:t>
      </w:r>
      <w:r>
        <w:rPr>
          <w:i/>
          <w:iCs/>
          <w:color w:val="000000"/>
        </w:rPr>
        <w:t>Where what is alleged is tantamount to a criminal offence, the Tribunal should apply the criminal standard of proof, that is to say proof to the point where they feel sure that the charges are proved or, put in another way, proof beyond reasonable doubt”.</w:t>
      </w:r>
    </w:p>
    <w:p w:rsidR="00541D66" w:rsidRDefault="00541D66" w:rsidP="00541D66">
      <w:r>
        <w:rPr>
          <w:color w:val="000000"/>
        </w:rPr>
        <w:t> </w:t>
      </w:r>
    </w:p>
    <w:p w:rsidR="00541D66" w:rsidRDefault="00541D66" w:rsidP="00541D66">
      <w:r>
        <w:rPr>
          <w:color w:val="000000"/>
        </w:rPr>
        <w:t xml:space="preserve">The Divisional Court the same year in </w:t>
      </w:r>
      <w:r>
        <w:rPr>
          <w:i/>
          <w:iCs/>
          <w:color w:val="000000"/>
        </w:rPr>
        <w:t>Aaron  -v-  the Law Society</w:t>
      </w:r>
      <w:r>
        <w:rPr>
          <w:color w:val="000000"/>
        </w:rPr>
        <w:t xml:space="preserve"> concluded that allegations which could result in suspension or striking off required the criminal standard of proof.   </w:t>
      </w:r>
    </w:p>
    <w:p w:rsidR="00541D66" w:rsidRDefault="00541D66" w:rsidP="00541D66">
      <w:r>
        <w:rPr>
          <w:color w:val="000000"/>
        </w:rPr>
        <w:t> </w:t>
      </w:r>
    </w:p>
    <w:p w:rsidR="00541D66" w:rsidRDefault="007C6CF2" w:rsidP="00541D66">
      <w:pPr>
        <w:rPr>
          <w:color w:val="000000"/>
        </w:rPr>
      </w:pPr>
      <w:r>
        <w:rPr>
          <w:color w:val="000000"/>
        </w:rPr>
        <w:t>T</w:t>
      </w:r>
      <w:r w:rsidR="00541D66">
        <w:rPr>
          <w:color w:val="000000"/>
        </w:rPr>
        <w:t>he Pri</w:t>
      </w:r>
      <w:r w:rsidR="007B594C">
        <w:rPr>
          <w:color w:val="000000"/>
        </w:rPr>
        <w:t>vy Council in 2005 endorsed the</w:t>
      </w:r>
      <w:r w:rsidR="00541D66">
        <w:rPr>
          <w:color w:val="000000"/>
        </w:rPr>
        <w:t xml:space="preserve"> approach that the criminal standard should apply.   </w:t>
      </w:r>
    </w:p>
    <w:p w:rsidR="007C6CF2" w:rsidRDefault="007C6CF2" w:rsidP="00541D66"/>
    <w:p w:rsidR="008B3F35" w:rsidRDefault="002B0078" w:rsidP="00B309D4">
      <w:r>
        <w:t xml:space="preserve">However, our </w:t>
      </w:r>
      <w:r w:rsidR="008B3F35">
        <w:t xml:space="preserve">process </w:t>
      </w:r>
      <w:r w:rsidR="007B594C">
        <w:t xml:space="preserve">in Scotland </w:t>
      </w:r>
      <w:r w:rsidR="008B3F35">
        <w:t>also</w:t>
      </w:r>
      <w:r w:rsidR="007C6CF2">
        <w:t xml:space="preserve"> has some unique </w:t>
      </w:r>
      <w:r w:rsidR="008B3F35">
        <w:t>characteristics</w:t>
      </w:r>
      <w:r w:rsidR="007C6CF2">
        <w:t xml:space="preserve">. </w:t>
      </w:r>
      <w:r>
        <w:t xml:space="preserve"> </w:t>
      </w:r>
      <w:r w:rsidR="0069167D">
        <w:t>A solicitor is subject to t</w:t>
      </w:r>
      <w:r>
        <w:t>he Law Society</w:t>
      </w:r>
      <w:r w:rsidR="007B594C">
        <w:t xml:space="preserve"> of Scotland</w:t>
      </w:r>
      <w:r w:rsidR="0069167D">
        <w:t>'s</w:t>
      </w:r>
      <w:r>
        <w:t xml:space="preserve"> investigation process</w:t>
      </w:r>
      <w:r w:rsidR="007C6CF2">
        <w:t>.</w:t>
      </w:r>
      <w:r>
        <w:t xml:space="preserve"> </w:t>
      </w:r>
      <w:r w:rsidR="007C6CF2">
        <w:t xml:space="preserve">Some of the investigations are </w:t>
      </w:r>
      <w:r>
        <w:t>o</w:t>
      </w:r>
      <w:r w:rsidR="007C6CF2">
        <w:t>ften superficial and</w:t>
      </w:r>
      <w:r>
        <w:t xml:space="preserve"> </w:t>
      </w:r>
      <w:r w:rsidR="008B3F35">
        <w:t>procedurally</w:t>
      </w:r>
      <w:r w:rsidR="007C6CF2">
        <w:t xml:space="preserve"> </w:t>
      </w:r>
      <w:r>
        <w:t>driven</w:t>
      </w:r>
      <w:r w:rsidR="007C6CF2">
        <w:t>. O</w:t>
      </w:r>
      <w:r>
        <w:t xml:space="preserve">n the basis of sometimes very poorly prepared reports and recommendations </w:t>
      </w:r>
      <w:r w:rsidR="007B594C">
        <w:t>following upon such a poor</w:t>
      </w:r>
      <w:r w:rsidR="008B3F35">
        <w:t xml:space="preserve"> investigation, </w:t>
      </w:r>
      <w:r>
        <w:t xml:space="preserve">the Professional Conduct Sub Committees make important </w:t>
      </w:r>
      <w:r w:rsidR="0069167D">
        <w:t xml:space="preserve">decisions leading to inevitable </w:t>
      </w:r>
      <w:r>
        <w:t xml:space="preserve">Tribunal prosecution. </w:t>
      </w:r>
    </w:p>
    <w:p w:rsidR="008B3F35" w:rsidRDefault="008B3F35" w:rsidP="00B309D4"/>
    <w:p w:rsidR="00B309D4" w:rsidRDefault="002B0078" w:rsidP="00B309D4">
      <w:r>
        <w:t xml:space="preserve">On occasions such complaints before the Tribunal </w:t>
      </w:r>
      <w:r w:rsidR="0069167D">
        <w:t>should never have reached the Tribunal.  T</w:t>
      </w:r>
      <w:r>
        <w:t xml:space="preserve">he Chairman and Members of the Tribunal often consider the conjunctive </w:t>
      </w:r>
      <w:r w:rsidR="0069167D">
        <w:t xml:space="preserve">( Sharp) </w:t>
      </w:r>
      <w:r>
        <w:t>test is not even met on paper. There have been one or two cases recently where complaints have been returned to the Law Society to consider whether or not it was more appropriate to make a finding of unsatisfactory</w:t>
      </w:r>
      <w:r w:rsidR="008B3F35">
        <w:t xml:space="preserve"> professional conduct.</w:t>
      </w:r>
    </w:p>
    <w:p w:rsidR="007B594C" w:rsidRDefault="002B0078" w:rsidP="00541D66">
      <w:r>
        <w:br/>
        <w:t>It seems that in light of case law the Court</w:t>
      </w:r>
      <w:r w:rsidR="007B594C">
        <w:t>s</w:t>
      </w:r>
      <w:r>
        <w:t xml:space="preserve"> recognises that allegations of the most serious misconduct should not be established except on solid grounds</w:t>
      </w:r>
      <w:r w:rsidR="007B594C">
        <w:t xml:space="preserve">. This is </w:t>
      </w:r>
      <w:r>
        <w:t xml:space="preserve"> particularly </w:t>
      </w:r>
      <w:r w:rsidR="007B594C">
        <w:t xml:space="preserve">important in </w:t>
      </w:r>
      <w:r>
        <w:t xml:space="preserve">those </w:t>
      </w:r>
      <w:r w:rsidR="007B594C">
        <w:t xml:space="preserve">cases </w:t>
      </w:r>
      <w:r>
        <w:t>which allege dishonesty, lack of integrity and deceit because such an allegation is the o</w:t>
      </w:r>
      <w:r w:rsidR="0069167D">
        <w:t>ne that can have the greatest impact. An allegation</w:t>
      </w:r>
      <w:r>
        <w:t xml:space="preserve"> is often easily made, sometimes not easily defended and </w:t>
      </w:r>
      <w:r w:rsidRPr="00B309D4">
        <w:rPr>
          <w:b/>
          <w:i/>
        </w:rPr>
        <w:t>if it sticks</w:t>
      </w:r>
      <w:r w:rsidR="0069167D">
        <w:rPr>
          <w:b/>
          <w:i/>
        </w:rPr>
        <w:t>,</w:t>
      </w:r>
      <w:r w:rsidRPr="00B309D4">
        <w:rPr>
          <w:b/>
          <w:i/>
        </w:rPr>
        <w:t xml:space="preserve"> it is career ending</w:t>
      </w:r>
      <w:r>
        <w:t xml:space="preserve">. Such an allegation should not be made without good reason and at the end of the day no one should be found dishonest by some kind of </w:t>
      </w:r>
      <w:r w:rsidR="008B3F35">
        <w:t xml:space="preserve">procedural </w:t>
      </w:r>
      <w:r>
        <w:t xml:space="preserve">default setting in the mechanism of an enquiry. As in other proceedings it should be articulated, </w:t>
      </w:r>
      <w:r w:rsidR="00B309D4">
        <w:t xml:space="preserve">addressed and judged head on. </w:t>
      </w:r>
      <w:r w:rsidR="00B309D4">
        <w:br/>
      </w:r>
    </w:p>
    <w:p w:rsidR="00541D66" w:rsidRDefault="002B0078" w:rsidP="00541D66">
      <w:r>
        <w:t xml:space="preserve">There are other mechanisms such as a clear and convincing evidence based approach beyond the binary choice of civil </w:t>
      </w:r>
      <w:r w:rsidR="007B594C">
        <w:t xml:space="preserve">or criminal standard of proof. </w:t>
      </w:r>
      <w:r>
        <w:t>Clear and convincing evidence is somewhere between the civil and criminal standard but the Supreme Court has criticised any such approach by asserting that it is for Judges to prefer as more likely one piece of evidence than another and it is a simple approach to take. Their view is in civil proceedings the more serious the allegation then there should be greater particularisation and evidence available to support that allegation</w:t>
      </w:r>
      <w:r w:rsidR="0069167D">
        <w:t>,</w:t>
      </w:r>
      <w:r>
        <w:t xml:space="preserve"> but it does not alter the balance of probability test. </w:t>
      </w:r>
      <w:r w:rsidR="007B594C">
        <w:t xml:space="preserve">However, </w:t>
      </w:r>
      <w:r w:rsidR="008B3F35">
        <w:t xml:space="preserve">the </w:t>
      </w:r>
      <w:r>
        <w:t xml:space="preserve"> proceedings before the Disciplinary Tribunal are neither civil nor criminal but s</w:t>
      </w:r>
      <w:r w:rsidR="00B309D4">
        <w:t>pecific to lawyer discipline</w:t>
      </w:r>
      <w:r w:rsidR="00593BF1">
        <w:t xml:space="preserve"> and </w:t>
      </w:r>
      <w:r w:rsidR="0069167D">
        <w:t xml:space="preserve">should be </w:t>
      </w:r>
      <w:r w:rsidR="00593BF1">
        <w:t>open to the clear and convincing evidence test.</w:t>
      </w:r>
      <w:r w:rsidR="00B309D4">
        <w:t xml:space="preserve"> </w:t>
      </w:r>
      <w:r w:rsidR="00B309D4">
        <w:br/>
      </w:r>
      <w:r w:rsidR="00593BF1">
        <w:br/>
        <w:t>It is</w:t>
      </w:r>
      <w:r w:rsidR="008B3F35">
        <w:t xml:space="preserve"> </w:t>
      </w:r>
      <w:r>
        <w:t xml:space="preserve"> difficult to understand </w:t>
      </w:r>
      <w:r w:rsidR="00593BF1">
        <w:t xml:space="preserve">in any event </w:t>
      </w:r>
      <w:r>
        <w:t>why there is a need for change as the high success rate at SSDT shows that the Law Society is perfectly able to bring cases meeting the criminal standard</w:t>
      </w:r>
      <w:r w:rsidR="0069167D">
        <w:t xml:space="preserve"> of </w:t>
      </w:r>
      <w:r w:rsidR="0069167D">
        <w:lastRenderedPageBreak/>
        <w:t>proof.</w:t>
      </w:r>
      <w:r>
        <w:br/>
      </w:r>
    </w:p>
    <w:p w:rsidR="00541D66" w:rsidRDefault="00541D66" w:rsidP="00541D66">
      <w:r>
        <w:rPr>
          <w:color w:val="000000"/>
        </w:rPr>
        <w:t> </w:t>
      </w:r>
    </w:p>
    <w:p w:rsidR="00541D66" w:rsidRDefault="00541D66" w:rsidP="00541D66">
      <w:r>
        <w:rPr>
          <w:color w:val="000000"/>
        </w:rPr>
        <w:t> </w:t>
      </w:r>
    </w:p>
    <w:p w:rsidR="002D3BD3" w:rsidRDefault="002D3BD3"/>
    <w:sectPr w:rsidR="002D3BD3" w:rsidSect="002D3BD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UICTFontTextStyleTallBody">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B0078"/>
    <w:rsid w:val="001725E0"/>
    <w:rsid w:val="001F401C"/>
    <w:rsid w:val="002B0078"/>
    <w:rsid w:val="002D3BD3"/>
    <w:rsid w:val="00541D66"/>
    <w:rsid w:val="00593BF1"/>
    <w:rsid w:val="0069167D"/>
    <w:rsid w:val="007B594C"/>
    <w:rsid w:val="007C6CF2"/>
    <w:rsid w:val="008B3F35"/>
    <w:rsid w:val="00A201A5"/>
    <w:rsid w:val="00A2302E"/>
    <w:rsid w:val="00B309D4"/>
    <w:rsid w:val="00BF5C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9916150">
      <w:bodyDiv w:val="1"/>
      <w:marLeft w:val="0"/>
      <w:marRight w:val="0"/>
      <w:marTop w:val="0"/>
      <w:marBottom w:val="0"/>
      <w:divBdr>
        <w:top w:val="none" w:sz="0" w:space="0" w:color="auto"/>
        <w:left w:val="none" w:sz="0" w:space="0" w:color="auto"/>
        <w:bottom w:val="none" w:sz="0" w:space="0" w:color="auto"/>
        <w:right w:val="none" w:sz="0" w:space="0" w:color="auto"/>
      </w:divBdr>
    </w:div>
    <w:div w:id="181922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E80992-8E8A-4598-B359-28B9367EA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O'Donnell</dc:creator>
  <cp:lastModifiedBy>David O'Donnell</cp:lastModifiedBy>
  <cp:revision>4</cp:revision>
  <dcterms:created xsi:type="dcterms:W3CDTF">2019-06-19T10:11:00Z</dcterms:created>
  <dcterms:modified xsi:type="dcterms:W3CDTF">2019-06-19T14:54:00Z</dcterms:modified>
</cp:coreProperties>
</file>